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 with Zimmerman</w:t>
      </w:r>
      <w:commentRangeStart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Our expectations re: bylaw updates were to include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to current CA laws and regulations 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Verbally agreed upon changes during face to face on Jan. 10, 2018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Visible edits so that our members would clearly be able to see what has changed. 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anticipated bylaws customized to our community, the product received looks boilerplate. Can you iterate what edits are related to what CCR/Laws?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were caught off-guard 2/2 timing of the receipt of the bylaws + inconsistencies in edits versus what we were anticipating.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Renters vs. rent to own - strike language completely per verbal on 1/10/18.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Legal vs. practical matters (who owns which parcels what is fair WRT voting rights.  Parcel ownership, water access)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Assuming 1 parcel = 1 vote, including parcels not hooked up to the community well. Correct?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Legally, when we need a majority vote for passing bylaws, does that include all eligible votes (e.g. one vote per parcel including non-users)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keep getting billed for work that has not met our expectations.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14 Minutes Review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Billing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Billing in advance may be problematic when/if we install meters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Set an intention to bill on schedule, impose late fees with prompt follow up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Bill will arrive at the midpoint of the billing cycle; 30d to pay prior to late fee.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Omit billing dates section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 late fee 10%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Bank Account Update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Citibank hold our cash reserves (Broker Account)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Community First holds operating and savings account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Mary to check with Normal Eisley, her contact at Edward Jones re fees/yield and recommendations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Jude and Kristen to go to Community First and add documentation to disallow Judy as </w:t>
      </w:r>
      <w:commentRangeStart w:id="1"/>
      <w:r w:rsidDel="00000000" w:rsidR="00000000" w:rsidRPr="00000000">
        <w:rPr>
          <w:color w:val="cc0000"/>
          <w:rtl w:val="0"/>
        </w:rPr>
        <w:t xml:space="preserve">Signator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color w:val="cc0000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Jude to research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Mary to get referrals from Weeks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Meetings (need 14 days notice to members)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Wednesday May 16th, 6pm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Advertise by 5/2/18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Saturday August 18 2 pm at Babcock’s for BBQ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 14, 6pm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Jude for follow up with Judy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Hook up fee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Deferred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Certificate contest for stock shares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Consider contest, kid driven design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Meeting Agenda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Maintenance update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Structural - Dry Rot, new (rollout) roof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Tank cleaning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Pressure tank seal replacement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Anything else?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 for maintenance vs. getting three bids or some combination.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ude Fox" w:id="1" w:date="2018-04-08T23:58:39Z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Deadline 5/1</w:t>
      </w:r>
    </w:p>
  </w:comment>
  <w:comment w:author="Jude Fox" w:id="0" w:date="2018-04-08T22:46:11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Jude to email BZ with cc to BoD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